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金融科技应用专业2022年高职提前招生综合素质测试方案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bookmarkEnd w:id="0"/>
    <w:bookmarkEnd w:id="1"/>
    <w:p>
      <w:pPr>
        <w:widowControl/>
        <w:numPr>
          <w:ilvl w:val="0"/>
          <w:numId w:val="1"/>
        </w:numPr>
        <w:shd w:val="clear" w:color="auto" w:fill="FFFFFF"/>
        <w:spacing w:line="440" w:lineRule="exact"/>
        <w:ind w:firstLine="482"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b/>
          <w:kern w:val="0"/>
          <w:sz w:val="24"/>
        </w:rPr>
        <w:t>测试目的</w:t>
      </w:r>
    </w:p>
    <w:p>
      <w:pPr>
        <w:widowControl/>
        <w:shd w:val="clear" w:color="auto" w:fill="FFFFFF"/>
        <w:spacing w:line="440" w:lineRule="exact"/>
        <w:ind w:firstLine="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主要考察考生以下四个方面的素质与能力：</w:t>
      </w:r>
    </w:p>
    <w:p>
      <w:pPr>
        <w:widowControl/>
        <w:numPr>
          <w:ilvl w:val="0"/>
          <w:numId w:val="2"/>
        </w:numPr>
        <w:shd w:val="solid" w:color="FFFFFF" w:fill="auto"/>
        <w:autoSpaceDN w:val="0"/>
        <w:spacing w:line="440" w:lineRule="exact"/>
        <w:ind w:firstLine="420"/>
        <w:jc w:val="left"/>
        <w:rPr>
          <w:rFonts w:ascii="仿宋_GB2312" w:hAnsi="仿宋_GB2312" w:eastAsia="仿宋_GB2312" w:cs="仿宋_GB2312"/>
          <w:sz w:val="24"/>
          <w:szCs w:val="24"/>
          <w:lang w:bidi="ar"/>
        </w:rPr>
      </w:pPr>
      <w:r>
        <w:rPr>
          <w:rFonts w:ascii="仿宋_GB2312" w:hAnsi="仿宋_GB2312" w:eastAsia="仿宋_GB2312" w:cs="仿宋_GB2312"/>
          <w:sz w:val="24"/>
          <w:szCs w:val="24"/>
          <w:lang w:bidi="ar"/>
        </w:rPr>
        <w:t>基本</w:t>
      </w:r>
      <w:r>
        <w:rPr>
          <w:rFonts w:hint="eastAsia" w:ascii="仿宋_GB2312" w:hAnsi="仿宋_GB2312" w:eastAsia="仿宋_GB2312" w:cs="仿宋_GB2312"/>
          <w:sz w:val="24"/>
          <w:szCs w:val="24"/>
          <w:lang w:bidi="ar"/>
        </w:rPr>
        <w:t>素养与</w:t>
      </w:r>
      <w:r>
        <w:rPr>
          <w:rFonts w:ascii="仿宋_GB2312" w:hAnsi="仿宋_GB2312" w:eastAsia="仿宋_GB2312" w:cs="仿宋_GB2312"/>
          <w:sz w:val="24"/>
          <w:szCs w:val="24"/>
          <w:lang w:bidi="ar"/>
        </w:rPr>
        <w:t>仪态</w:t>
      </w:r>
      <w:r>
        <w:rPr>
          <w:rFonts w:hint="eastAsia" w:ascii="仿宋_GB2312" w:hAnsi="仿宋_GB2312" w:eastAsia="仿宋_GB2312" w:cs="仿宋_GB2312"/>
          <w:sz w:val="24"/>
          <w:szCs w:val="24"/>
          <w:lang w:bidi="ar"/>
        </w:rPr>
        <w:t>。</w:t>
      </w:r>
    </w:p>
    <w:p>
      <w:pPr>
        <w:widowControl/>
        <w:numPr>
          <w:ilvl w:val="0"/>
          <w:numId w:val="2"/>
        </w:numPr>
        <w:shd w:val="solid" w:color="FFFFFF" w:fill="auto"/>
        <w:autoSpaceDN w:val="0"/>
        <w:spacing w:line="440" w:lineRule="exact"/>
        <w:ind w:firstLine="420"/>
        <w:jc w:val="left"/>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人文知识素养、逻辑分析能力、语言表达沟通能力。</w:t>
      </w:r>
    </w:p>
    <w:p>
      <w:pPr>
        <w:widowControl/>
        <w:shd w:val="solid" w:color="FFFFFF" w:fill="auto"/>
        <w:autoSpaceDN w:val="0"/>
        <w:spacing w:line="440" w:lineRule="exact"/>
        <w:ind w:firstLine="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3.金融相关常识了解程度。</w:t>
      </w:r>
    </w:p>
    <w:p>
      <w:pPr>
        <w:widowControl/>
        <w:shd w:val="solid" w:color="FFFFFF" w:fill="auto"/>
        <w:autoSpaceDN w:val="0"/>
        <w:spacing w:line="440" w:lineRule="exact"/>
        <w:ind w:firstLine="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4.金融业相关岗位适应能力。</w:t>
      </w:r>
    </w:p>
    <w:p>
      <w:pPr>
        <w:widowControl/>
        <w:shd w:val="solid" w:color="FFFFFF" w:fill="auto"/>
        <w:autoSpaceDN w:val="0"/>
        <w:spacing w:line="440" w:lineRule="exact"/>
        <w:ind w:firstLine="420"/>
        <w:jc w:val="left"/>
        <w:rPr>
          <w:rFonts w:ascii="仿宋_GB2312" w:hAnsi="仿宋_GB2312" w:eastAsia="仿宋_GB2312" w:cs="仿宋_GB2312"/>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sz w:val="24"/>
          <w:szCs w:val="24"/>
          <w:lang w:bidi="ar"/>
        </w:rPr>
        <w:t>1.</w:t>
      </w:r>
      <w:r>
        <w:rPr>
          <w:rFonts w:ascii="仿宋_GB2312" w:hAnsi="仿宋_GB2312" w:eastAsia="仿宋_GB2312" w:cs="仿宋_GB2312"/>
          <w:sz w:val="24"/>
          <w:szCs w:val="24"/>
          <w:lang w:bidi="ar"/>
        </w:rPr>
        <w:t>基本</w:t>
      </w:r>
      <w:r>
        <w:rPr>
          <w:rFonts w:hint="eastAsia" w:ascii="仿宋_GB2312" w:hAnsi="仿宋_GB2312" w:eastAsia="仿宋_GB2312" w:cs="仿宋_GB2312"/>
          <w:sz w:val="24"/>
          <w:szCs w:val="24"/>
          <w:lang w:bidi="ar"/>
        </w:rPr>
        <w:t>素养与</w:t>
      </w:r>
      <w:r>
        <w:rPr>
          <w:rFonts w:ascii="仿宋_GB2312" w:hAnsi="仿宋_GB2312" w:eastAsia="仿宋_GB2312" w:cs="仿宋_GB2312"/>
          <w:sz w:val="24"/>
          <w:szCs w:val="24"/>
          <w:lang w:bidi="ar"/>
        </w:rPr>
        <w:t>仪态</w:t>
      </w:r>
    </w:p>
    <w:p>
      <w:pPr>
        <w:widowControl/>
        <w:spacing w:line="440" w:lineRule="exact"/>
        <w:ind w:firstLine="480" w:firstLineChars="200"/>
        <w:rPr>
          <w:rFonts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要求考生仪表端庄自然，穿着得体、举止稳重，精神饱满，待人接物得体大方。</w:t>
      </w:r>
    </w:p>
    <w:p>
      <w:pPr>
        <w:widowControl/>
        <w:shd w:val="solid" w:color="FFFFFF" w:fill="auto"/>
        <w:autoSpaceDN w:val="0"/>
        <w:spacing w:line="44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2.人文知识素养、逻辑分析能力、语言表达沟通能力。</w:t>
      </w:r>
    </w:p>
    <w:p>
      <w:pPr>
        <w:widowControl/>
        <w:spacing w:line="440" w:lineRule="exact"/>
        <w:ind w:firstLine="480" w:firstLineChars="200"/>
        <w:textAlignment w:val="baseline"/>
        <w:rPr>
          <w:rFonts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要求考生能够具备基本的人文与科学知识以及运用这些知识进行分析判断的能力，重点测试对一些时事与金融重大事件的了解程度。具备</w:t>
      </w:r>
      <w:r>
        <w:rPr>
          <w:rFonts w:hint="eastAsia" w:ascii="仿宋_GB2312" w:hAnsi="仿宋_GB2312" w:eastAsia="仿宋_GB2312" w:cs="仿宋_GB2312"/>
          <w:sz w:val="24"/>
          <w:szCs w:val="24"/>
          <w:lang w:bidi="ar"/>
        </w:rPr>
        <w:t>对事物进行观察、比较、分析、判断、推理的能力，准确、有条理地表达自己思维过程的能力。要求</w:t>
      </w:r>
      <w:r>
        <w:rPr>
          <w:rFonts w:hint="eastAsia" w:ascii="仿宋_GB2312" w:hAnsi="仿宋_GB2312" w:eastAsia="仿宋_GB2312" w:cs="仿宋_GB2312"/>
          <w:sz w:val="24"/>
          <w:szCs w:val="24"/>
        </w:rPr>
        <w:t>表达清晰简洁、准确，叙述流畅。</w:t>
      </w:r>
    </w:p>
    <w:p>
      <w:pPr>
        <w:spacing w:line="440" w:lineRule="exact"/>
        <w:ind w:firstLine="480" w:firstLineChars="200"/>
        <w:rPr>
          <w:rFonts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3.金融相关常识了解程度。</w:t>
      </w:r>
    </w:p>
    <w:p>
      <w:pPr>
        <w:widowControl/>
        <w:spacing w:line="440" w:lineRule="exact"/>
        <w:ind w:firstLine="360" w:firstLineChars="150"/>
        <w:jc w:val="left"/>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bidi="ar"/>
        </w:rPr>
        <w:t>要求考生对给定的相关金融常识，有一定的认知，并能清楚的表述自已的理解和看法。对于一些金融现象，能对本质原因作一定的分析。</w:t>
      </w:r>
    </w:p>
    <w:p>
      <w:pPr>
        <w:widowControl/>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4.</w:t>
      </w:r>
      <w:r>
        <w:rPr>
          <w:rFonts w:hint="eastAsia" w:ascii="仿宋_GB2312" w:hAnsi="仿宋_GB2312" w:eastAsia="仿宋_GB2312" w:cs="仿宋_GB2312"/>
          <w:sz w:val="24"/>
          <w:shd w:val="clear" w:color="auto" w:fill="FFFFFF"/>
        </w:rPr>
        <w:t>金融业相关岗位适应能力。</w:t>
      </w:r>
    </w:p>
    <w:p>
      <w:pPr>
        <w:widowControl/>
        <w:spacing w:line="440" w:lineRule="exact"/>
        <w:ind w:firstLine="360" w:firstLineChars="150"/>
        <w:textAlignment w:val="baseline"/>
        <w:rPr>
          <w:rFonts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要求考生了解熟悉金融行业基本现状和发展趋势，行业相关岗位要求和从业人员的知识技能要求。通过对涉及金融相关业务的案例或者问题进行判断、分析，测试考生在职业情境中的理解能力、分析能力、判断能力。</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widowControl/>
        <w:snapToGrid w:val="0"/>
        <w:spacing w:line="440" w:lineRule="exact"/>
        <w:ind w:firstLine="480" w:firstLineChars="200"/>
        <w:rPr>
          <w:rFonts w:ascii="仿宋_GB2312" w:hAnsi="仿宋" w:eastAsia="仿宋_GB2312" w:cs="仿宋"/>
          <w:sz w:val="24"/>
        </w:rPr>
      </w:pPr>
      <w:r>
        <w:rPr>
          <w:rFonts w:hint="eastAsia" w:ascii="仿宋_GB2312" w:hAnsi="宋体" w:eastAsia="仿宋_GB2312"/>
          <w:sz w:val="24"/>
          <w:szCs w:val="24"/>
        </w:rPr>
        <w:t>综合素质测试满分为100分。</w:t>
      </w:r>
      <w:r>
        <w:rPr>
          <w:rFonts w:hint="eastAsia" w:ascii="仿宋_GB2312" w:hAnsi="宋体" w:eastAsia="仿宋_GB2312" w:cs="Times New Roman"/>
          <w:sz w:val="24"/>
          <w:szCs w:val="24"/>
        </w:rPr>
        <w:t>具体评分标准如下：</w:t>
      </w:r>
    </w:p>
    <w:tbl>
      <w:tblPr>
        <w:tblStyle w:val="7"/>
        <w:tblW w:w="7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6"/>
        <w:gridCol w:w="3276"/>
        <w:gridCol w:w="947"/>
        <w:gridCol w:w="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6" w:type="dxa"/>
          </w:tcPr>
          <w:p>
            <w:pPr>
              <w:widowControl/>
              <w:snapToGrid w:val="0"/>
              <w:spacing w:line="440" w:lineRule="exact"/>
              <w:jc w:val="center"/>
              <w:rPr>
                <w:rFonts w:ascii="仿宋_GB2312" w:hAnsi="仿宋_GB2312" w:eastAsia="仿宋_GB2312" w:cs="仿宋_GB2312"/>
                <w:b/>
                <w:bCs/>
                <w:sz w:val="24"/>
                <w:szCs w:val="24"/>
              </w:rPr>
            </w:pPr>
            <w:r>
              <w:rPr>
                <w:rFonts w:ascii="仿宋_GB2312" w:hAnsi="仿宋_GB2312" w:eastAsia="仿宋_GB2312" w:cs="仿宋_GB2312"/>
                <w:b/>
                <w:bCs/>
                <w:sz w:val="24"/>
                <w:szCs w:val="24"/>
              </w:rPr>
              <w:t>能力</w:t>
            </w:r>
          </w:p>
        </w:tc>
        <w:tc>
          <w:tcPr>
            <w:tcW w:w="3276" w:type="dxa"/>
          </w:tcPr>
          <w:p>
            <w:pPr>
              <w:widowControl/>
              <w:snapToGrid w:val="0"/>
              <w:spacing w:line="440" w:lineRule="exact"/>
              <w:jc w:val="center"/>
              <w:rPr>
                <w:rFonts w:ascii="仿宋_GB2312" w:hAnsi="仿宋_GB2312" w:eastAsia="仿宋_GB2312" w:cs="仿宋_GB2312"/>
                <w:b/>
                <w:bCs/>
                <w:sz w:val="24"/>
                <w:szCs w:val="24"/>
              </w:rPr>
            </w:pPr>
            <w:r>
              <w:rPr>
                <w:rFonts w:ascii="仿宋_GB2312" w:hAnsi="仿宋_GB2312" w:eastAsia="仿宋_GB2312" w:cs="仿宋_GB2312"/>
                <w:b/>
                <w:bCs/>
                <w:sz w:val="24"/>
                <w:szCs w:val="24"/>
              </w:rPr>
              <w:t>要求</w:t>
            </w:r>
          </w:p>
        </w:tc>
        <w:tc>
          <w:tcPr>
            <w:tcW w:w="1895" w:type="dxa"/>
            <w:gridSpan w:val="2"/>
          </w:tcPr>
          <w:p>
            <w:pPr>
              <w:widowControl/>
              <w:snapToGrid w:val="0"/>
              <w:spacing w:line="440" w:lineRule="exact"/>
              <w:jc w:val="center"/>
              <w:rPr>
                <w:rFonts w:ascii="仿宋_GB2312" w:hAnsi="仿宋_GB2312" w:eastAsia="仿宋_GB2312" w:cs="仿宋_GB2312"/>
                <w:b/>
                <w:bCs/>
                <w:sz w:val="24"/>
                <w:szCs w:val="24"/>
              </w:rPr>
            </w:pPr>
            <w:r>
              <w:rPr>
                <w:rFonts w:ascii="仿宋_GB2312" w:hAnsi="仿宋_GB2312" w:eastAsia="仿宋_GB2312" w:cs="仿宋_GB2312"/>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restart"/>
            <w:vAlign w:val="center"/>
          </w:tcPr>
          <w:p>
            <w:pPr>
              <w:widowControl/>
              <w:snapToGrid w:val="0"/>
              <w:spacing w:line="440" w:lineRule="exact"/>
              <w:jc w:val="center"/>
              <w:rPr>
                <w:rFonts w:ascii="仿宋_GB2312" w:hAnsi="仿宋_GB2312" w:eastAsia="仿宋_GB2312" w:cs="仿宋_GB2312"/>
                <w:sz w:val="24"/>
                <w:szCs w:val="24"/>
                <w:lang w:bidi="ar"/>
              </w:rPr>
            </w:pPr>
            <w:r>
              <w:rPr>
                <w:rFonts w:ascii="仿宋_GB2312" w:hAnsi="仿宋_GB2312" w:eastAsia="仿宋_GB2312" w:cs="仿宋_GB2312"/>
                <w:sz w:val="24"/>
                <w:szCs w:val="24"/>
                <w:lang w:bidi="ar"/>
              </w:rPr>
              <w:t>基本</w:t>
            </w:r>
            <w:r>
              <w:rPr>
                <w:rFonts w:hint="eastAsia" w:ascii="仿宋_GB2312" w:hAnsi="仿宋_GB2312" w:eastAsia="仿宋_GB2312" w:cs="仿宋_GB2312"/>
                <w:sz w:val="24"/>
                <w:szCs w:val="24"/>
                <w:lang w:bidi="ar"/>
              </w:rPr>
              <w:t>素养与</w:t>
            </w:r>
            <w:r>
              <w:rPr>
                <w:rFonts w:ascii="仿宋_GB2312" w:hAnsi="仿宋_GB2312" w:eastAsia="仿宋_GB2312" w:cs="仿宋_GB2312"/>
                <w:sz w:val="24"/>
                <w:szCs w:val="24"/>
                <w:lang w:bidi="ar"/>
              </w:rPr>
              <w:t>仪态</w:t>
            </w:r>
          </w:p>
          <w:p>
            <w:pPr>
              <w:widowControl/>
              <w:snapToGrid w:val="0"/>
              <w:spacing w:line="440" w:lineRule="exact"/>
              <w:jc w:val="center"/>
              <w:rPr>
                <w:rFonts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（20分）</w:t>
            </w:r>
          </w:p>
        </w:tc>
        <w:tc>
          <w:tcPr>
            <w:tcW w:w="3276" w:type="dxa"/>
            <w:vMerge w:val="restart"/>
          </w:tcPr>
          <w:p>
            <w:pPr>
              <w:widowControl/>
              <w:snapToGrid w:val="0"/>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仪表端庄自然，穿着得体、举止稳重，精神饱满。待人接物得体大方。</w:t>
            </w: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优秀</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5</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rPr>
                <w:rFonts w:ascii="仿宋_GB2312" w:hAnsi="仿宋_GB2312" w:eastAsia="仿宋_GB2312" w:cs="仿宋_GB2312"/>
                <w:sz w:val="24"/>
                <w:szCs w:val="24"/>
              </w:rPr>
            </w:pP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良好</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rPr>
                <w:rFonts w:ascii="仿宋_GB2312" w:hAnsi="仿宋_GB2312" w:eastAsia="仿宋_GB2312" w:cs="仿宋_GB2312"/>
                <w:sz w:val="24"/>
                <w:szCs w:val="24"/>
              </w:rPr>
            </w:pPr>
          </w:p>
        </w:tc>
        <w:tc>
          <w:tcPr>
            <w:tcW w:w="3276" w:type="dxa"/>
            <w:vMerge w:val="continue"/>
          </w:tcPr>
          <w:p>
            <w:pPr>
              <w:widowControl/>
              <w:snapToGrid w:val="0"/>
              <w:spacing w:line="440" w:lineRule="exact"/>
              <w:rPr>
                <w:rFonts w:ascii="仿宋_GB2312" w:hAnsi="仿宋_GB2312" w:eastAsia="仿宋_GB2312" w:cs="仿宋_GB2312"/>
                <w:sz w:val="24"/>
                <w:szCs w:val="24"/>
              </w:rPr>
            </w:pP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一般</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rPr>
                <w:rFonts w:ascii="仿宋_GB2312" w:hAnsi="仿宋_GB2312" w:eastAsia="仿宋_GB2312" w:cs="仿宋_GB2312"/>
                <w:sz w:val="24"/>
                <w:szCs w:val="24"/>
              </w:rPr>
            </w:pPr>
          </w:p>
        </w:tc>
        <w:tc>
          <w:tcPr>
            <w:tcW w:w="3276" w:type="dxa"/>
            <w:vMerge w:val="continue"/>
          </w:tcPr>
          <w:p>
            <w:pPr>
              <w:widowControl/>
              <w:snapToGrid w:val="0"/>
              <w:spacing w:line="440" w:lineRule="exact"/>
              <w:rPr>
                <w:rFonts w:ascii="仿宋_GB2312" w:hAnsi="仿宋_GB2312" w:eastAsia="仿宋_GB2312" w:cs="仿宋_GB2312"/>
                <w:sz w:val="24"/>
                <w:szCs w:val="24"/>
              </w:rPr>
            </w:pP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差</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406" w:type="dxa"/>
            <w:vMerge w:val="restart"/>
            <w:vAlign w:val="center"/>
          </w:tcPr>
          <w:p>
            <w:pPr>
              <w:widowControl/>
              <w:snapToGrid w:val="0"/>
              <w:spacing w:line="440" w:lineRule="exact"/>
              <w:jc w:val="center"/>
              <w:rPr>
                <w:rFonts w:ascii="仿宋_GB2312" w:hAnsi="仿宋_GB2312" w:eastAsia="仿宋_GB2312" w:cs="仿宋_GB2312"/>
                <w:sz w:val="24"/>
                <w:szCs w:val="24"/>
                <w:lang w:bidi="ar"/>
              </w:rPr>
            </w:pPr>
            <w:r>
              <w:rPr>
                <w:rFonts w:ascii="仿宋_GB2312" w:hAnsi="仿宋_GB2312" w:eastAsia="仿宋_GB2312" w:cs="仿宋_GB2312"/>
                <w:sz w:val="24"/>
                <w:szCs w:val="24"/>
                <w:lang w:bidi="ar"/>
              </w:rPr>
              <w:t>人文知识素养、语言表达</w:t>
            </w:r>
            <w:r>
              <w:rPr>
                <w:rFonts w:hint="eastAsia" w:ascii="仿宋_GB2312" w:hAnsi="仿宋_GB2312" w:eastAsia="仿宋_GB2312" w:cs="仿宋_GB2312"/>
                <w:sz w:val="24"/>
                <w:szCs w:val="24"/>
                <w:lang w:bidi="ar"/>
              </w:rPr>
              <w:t>、</w:t>
            </w:r>
            <w:r>
              <w:rPr>
                <w:rFonts w:ascii="仿宋_GB2312" w:hAnsi="仿宋_GB2312" w:eastAsia="仿宋_GB2312" w:cs="仿宋_GB2312"/>
                <w:sz w:val="24"/>
                <w:szCs w:val="24"/>
                <w:lang w:bidi="ar"/>
              </w:rPr>
              <w:t>沟通能力。</w:t>
            </w:r>
          </w:p>
          <w:p>
            <w:pPr>
              <w:widowControl/>
              <w:snapToGrid w:val="0"/>
              <w:spacing w:line="440" w:lineRule="exact"/>
              <w:jc w:val="center"/>
              <w:rPr>
                <w:rFonts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（20分）</w:t>
            </w:r>
          </w:p>
        </w:tc>
        <w:tc>
          <w:tcPr>
            <w:tcW w:w="3276" w:type="dxa"/>
            <w:vMerge w:val="restart"/>
          </w:tcPr>
          <w:p>
            <w:pPr>
              <w:widowControl/>
              <w:snapToGrid w:val="0"/>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回答问题具有较强的条理性和较严密的逻辑性，有一定的广度和深度，判断分析问题全面。表达清晰简洁，叙述流畅。</w:t>
            </w: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优秀</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5</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良好</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一般</w:t>
            </w:r>
          </w:p>
        </w:tc>
        <w:tc>
          <w:tcPr>
            <w:tcW w:w="948" w:type="dxa"/>
          </w:tcPr>
          <w:p>
            <w:pPr>
              <w:widowControl/>
              <w:snapToGrid w:val="0"/>
              <w:spacing w:line="440" w:lineRule="exact"/>
              <w:jc w:val="cente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差</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restart"/>
            <w:vAlign w:val="center"/>
          </w:tcPr>
          <w:p>
            <w:pPr>
              <w:widowControl/>
              <w:snapToGrid w:val="0"/>
              <w:spacing w:line="440" w:lineRule="exact"/>
              <w:jc w:val="center"/>
              <w:rPr>
                <w:rFonts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金融相关常识了解程度（30分）</w:t>
            </w:r>
          </w:p>
        </w:tc>
        <w:tc>
          <w:tcPr>
            <w:tcW w:w="3276" w:type="dxa"/>
            <w:vMerge w:val="restart"/>
          </w:tcPr>
          <w:p>
            <w:pPr>
              <w:widowControl/>
              <w:snapToGrid w:val="0"/>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对给定的相关金融常识，有一定的认知，并能清楚的表述自已的理解和看法。对于一些金融现象，能对本质原因作一定的分析。</w:t>
            </w: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优秀</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24~3</w:t>
            </w:r>
            <w:r>
              <w:rPr>
                <w:rFonts w:ascii="仿宋_GB2312" w:hAnsi="仿宋_GB2312" w:eastAsia="仿宋_GB2312" w:cs="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良好</w:t>
            </w:r>
          </w:p>
        </w:tc>
        <w:tc>
          <w:tcPr>
            <w:tcW w:w="948" w:type="dxa"/>
          </w:tcPr>
          <w:p>
            <w:pPr>
              <w:widowControl/>
              <w:snapToGrid w:val="0"/>
              <w:spacing w:line="440" w:lineRule="exact"/>
              <w:jc w:val="center"/>
              <w:rPr>
                <w:rFonts w:eastAsia="仿宋_GB2312"/>
              </w:rPr>
            </w:pPr>
            <w:r>
              <w:rPr>
                <w:rFonts w:hint="eastAsia" w:ascii="仿宋_GB2312" w:hAnsi="仿宋_GB2312" w:eastAsia="仿宋_GB2312" w:cs="仿宋_GB2312"/>
                <w:sz w:val="24"/>
                <w:szCs w:val="24"/>
              </w:rPr>
              <w:t>17~23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一般</w:t>
            </w:r>
          </w:p>
        </w:tc>
        <w:tc>
          <w:tcPr>
            <w:tcW w:w="948" w:type="dxa"/>
          </w:tcPr>
          <w:p>
            <w:pPr>
              <w:widowControl/>
              <w:snapToGrid w:val="0"/>
              <w:spacing w:line="440" w:lineRule="exact"/>
              <w:jc w:val="center"/>
              <w:rPr>
                <w:rFonts w:eastAsia="仿宋_GB2312"/>
              </w:rPr>
            </w:pPr>
            <w:r>
              <w:rPr>
                <w:rFonts w:hint="eastAsia" w:ascii="仿宋_GB2312" w:hAnsi="仿宋_GB2312" w:eastAsia="仿宋_GB2312" w:cs="仿宋_GB2312"/>
                <w:sz w:val="24"/>
                <w:szCs w:val="24"/>
              </w:rPr>
              <w:t>9~</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差</w:t>
            </w:r>
          </w:p>
        </w:tc>
        <w:tc>
          <w:tcPr>
            <w:tcW w:w="948" w:type="dxa"/>
          </w:tcPr>
          <w:p>
            <w:pPr>
              <w:widowControl/>
              <w:snapToGrid w:val="0"/>
              <w:spacing w:line="440" w:lineRule="exact"/>
              <w:jc w:val="center"/>
              <w:rPr>
                <w:rFonts w:eastAsia="仿宋_GB2312"/>
              </w:rPr>
            </w:pPr>
            <w:r>
              <w:rPr>
                <w:rFonts w:hint="eastAsia" w:ascii="仿宋_GB2312" w:hAnsi="仿宋_GB2312" w:eastAsia="仿宋_GB2312" w:cs="仿宋_GB2312"/>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406" w:type="dxa"/>
            <w:vMerge w:val="restart"/>
            <w:vAlign w:val="center"/>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金融业相关岗位适应能力（30分）</w:t>
            </w:r>
          </w:p>
        </w:tc>
        <w:tc>
          <w:tcPr>
            <w:tcW w:w="3276" w:type="dxa"/>
            <w:vMerge w:val="restart"/>
          </w:tcPr>
          <w:p>
            <w:pPr>
              <w:widowControl/>
              <w:spacing w:line="440" w:lineRule="exact"/>
              <w:ind w:firstLine="360" w:firstLineChars="150"/>
              <w:textAlignment w:val="baseline"/>
              <w:rPr>
                <w:rFonts w:ascii="仿宋_GB2312" w:hAnsi="仿宋_GB2312" w:eastAsia="仿宋_GB2312" w:cs="仿宋_GB2312"/>
                <w:sz w:val="24"/>
                <w:szCs w:val="24"/>
              </w:rPr>
            </w:pPr>
            <w:r>
              <w:rPr>
                <w:rFonts w:ascii="仿宋_GB2312" w:hAnsi="仿宋_GB2312" w:eastAsia="仿宋_GB2312" w:cs="仿宋_GB2312"/>
                <w:kern w:val="0"/>
                <w:sz w:val="24"/>
                <w:szCs w:val="24"/>
                <w:lang w:bidi="ar"/>
              </w:rPr>
              <w:t>熟悉金融行业基本现状和发展趋势</w:t>
            </w:r>
            <w:r>
              <w:rPr>
                <w:rFonts w:hint="eastAsia" w:ascii="仿宋_GB2312" w:hAnsi="仿宋_GB2312" w:eastAsia="仿宋_GB2312" w:cs="仿宋_GB2312"/>
                <w:kern w:val="0"/>
                <w:sz w:val="24"/>
                <w:szCs w:val="24"/>
                <w:lang w:bidi="ar"/>
              </w:rPr>
              <w:t>，</w:t>
            </w:r>
            <w:r>
              <w:rPr>
                <w:rFonts w:ascii="仿宋_GB2312" w:hAnsi="仿宋_GB2312" w:eastAsia="仿宋_GB2312" w:cs="仿宋_GB2312"/>
                <w:kern w:val="0"/>
                <w:sz w:val="24"/>
                <w:szCs w:val="24"/>
                <w:lang w:bidi="ar"/>
              </w:rPr>
              <w:t>行业相关岗位要求和从业人员的知识技能要求。对涉及金融相关业务的案例或者问题</w:t>
            </w:r>
            <w:r>
              <w:rPr>
                <w:rFonts w:hint="eastAsia" w:ascii="仿宋_GB2312" w:hAnsi="仿宋_GB2312" w:eastAsia="仿宋_GB2312" w:cs="仿宋_GB2312"/>
                <w:kern w:val="0"/>
                <w:sz w:val="24"/>
                <w:szCs w:val="24"/>
                <w:lang w:bidi="ar"/>
              </w:rPr>
              <w:t>能</w:t>
            </w:r>
            <w:r>
              <w:rPr>
                <w:rFonts w:ascii="仿宋_GB2312" w:hAnsi="仿宋_GB2312" w:eastAsia="仿宋_GB2312" w:cs="仿宋_GB2312"/>
                <w:kern w:val="0"/>
                <w:sz w:val="24"/>
                <w:szCs w:val="24"/>
                <w:lang w:bidi="ar"/>
              </w:rPr>
              <w:t>进行</w:t>
            </w:r>
            <w:r>
              <w:rPr>
                <w:rFonts w:hint="eastAsia" w:ascii="仿宋_GB2312" w:hAnsi="仿宋_GB2312" w:eastAsia="仿宋_GB2312" w:cs="仿宋_GB2312"/>
                <w:kern w:val="0"/>
                <w:sz w:val="24"/>
                <w:szCs w:val="24"/>
                <w:lang w:bidi="ar"/>
              </w:rPr>
              <w:t>比较准确的</w:t>
            </w:r>
            <w:r>
              <w:rPr>
                <w:rFonts w:ascii="仿宋_GB2312" w:hAnsi="仿宋_GB2312" w:eastAsia="仿宋_GB2312" w:cs="仿宋_GB2312"/>
                <w:kern w:val="0"/>
                <w:sz w:val="24"/>
                <w:szCs w:val="24"/>
                <w:lang w:bidi="ar"/>
              </w:rPr>
              <w:t>判断、分析，</w:t>
            </w:r>
            <w:r>
              <w:rPr>
                <w:rFonts w:hint="eastAsia" w:ascii="仿宋_GB2312" w:hAnsi="仿宋_GB2312" w:eastAsia="仿宋_GB2312" w:cs="仿宋_GB2312"/>
                <w:kern w:val="0"/>
                <w:sz w:val="24"/>
                <w:szCs w:val="24"/>
                <w:lang w:bidi="ar"/>
              </w:rPr>
              <w:t>有较好的</w:t>
            </w:r>
            <w:r>
              <w:rPr>
                <w:rFonts w:ascii="仿宋_GB2312" w:hAnsi="仿宋_GB2312" w:eastAsia="仿宋_GB2312" w:cs="仿宋_GB2312"/>
                <w:kern w:val="0"/>
                <w:sz w:val="24"/>
                <w:szCs w:val="24"/>
                <w:lang w:bidi="ar"/>
              </w:rPr>
              <w:t>理解能力、分析能力、判断能力。</w:t>
            </w: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优秀</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24~3</w:t>
            </w:r>
            <w:r>
              <w:rPr>
                <w:rFonts w:ascii="仿宋_GB2312" w:hAnsi="仿宋_GB2312" w:eastAsia="仿宋_GB2312" w:cs="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406" w:type="dxa"/>
            <w:vMerge w:val="continue"/>
          </w:tcPr>
          <w:p>
            <w:pPr>
              <w:widowControl/>
              <w:snapToGrid w:val="0"/>
              <w:spacing w:line="440" w:lineRule="exact"/>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良好</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17~23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406" w:type="dxa"/>
            <w:vMerge w:val="continue"/>
          </w:tcPr>
          <w:p>
            <w:pPr>
              <w:widowControl/>
              <w:snapToGrid w:val="0"/>
              <w:spacing w:line="440" w:lineRule="exact"/>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一般</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9~</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406" w:type="dxa"/>
            <w:vMerge w:val="continue"/>
          </w:tcPr>
          <w:p>
            <w:pPr>
              <w:widowControl/>
              <w:snapToGrid w:val="0"/>
              <w:spacing w:line="440" w:lineRule="exact"/>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差</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1~8</w:t>
            </w:r>
          </w:p>
        </w:tc>
      </w:tr>
    </w:tbl>
    <w:p>
      <w:pPr>
        <w:spacing w:line="440" w:lineRule="exact"/>
        <w:rPr>
          <w:rFonts w:ascii="仿宋_GB2312" w:hAnsi="仿宋" w:eastAsia="仿宋_GB2312" w:cs="仿宋"/>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成立金融科技应用</w:t>
      </w:r>
      <w:bookmarkStart w:id="2" w:name="_GoBack"/>
      <w:bookmarkEnd w:id="2"/>
      <w:r>
        <w:rPr>
          <w:rFonts w:hint="eastAsia" w:ascii="仿宋_GB2312" w:hAnsi="仿宋_GB2312" w:eastAsia="仿宋_GB2312" w:cs="仿宋_GB2312"/>
          <w:kern w:val="0"/>
          <w:sz w:val="24"/>
          <w:shd w:val="clear" w:color="auto" w:fill="FFFFFF"/>
        </w:rPr>
        <w:t>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ind w:firstLine="480" w:firstLineChars="200"/>
        <w:jc w:val="left"/>
        <w:rPr>
          <w:rFonts w:cs="宋体" w:asciiTheme="minorEastAsia" w:hAnsiTheme="minorEastAsia"/>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5C8B8CB1"/>
    <w:multiLevelType w:val="singleLevel"/>
    <w:tmpl w:val="5C8B8CB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25F78"/>
    <w:rsid w:val="00081459"/>
    <w:rsid w:val="000862FB"/>
    <w:rsid w:val="00093D03"/>
    <w:rsid w:val="00096ED1"/>
    <w:rsid w:val="000B05BA"/>
    <w:rsid w:val="000C0867"/>
    <w:rsid w:val="000F4738"/>
    <w:rsid w:val="001016BA"/>
    <w:rsid w:val="00104547"/>
    <w:rsid w:val="00180E79"/>
    <w:rsid w:val="0019013C"/>
    <w:rsid w:val="001B2841"/>
    <w:rsid w:val="001E0C57"/>
    <w:rsid w:val="00213081"/>
    <w:rsid w:val="00266EA6"/>
    <w:rsid w:val="003106B3"/>
    <w:rsid w:val="0033028B"/>
    <w:rsid w:val="00337127"/>
    <w:rsid w:val="003E6B2E"/>
    <w:rsid w:val="003F1DF4"/>
    <w:rsid w:val="004123BB"/>
    <w:rsid w:val="004610FF"/>
    <w:rsid w:val="004F1DAC"/>
    <w:rsid w:val="00503BDC"/>
    <w:rsid w:val="005133A3"/>
    <w:rsid w:val="0056768F"/>
    <w:rsid w:val="005677E9"/>
    <w:rsid w:val="00597FDC"/>
    <w:rsid w:val="005B4E17"/>
    <w:rsid w:val="005E44EE"/>
    <w:rsid w:val="006337B1"/>
    <w:rsid w:val="00673D9F"/>
    <w:rsid w:val="00680F65"/>
    <w:rsid w:val="006D2935"/>
    <w:rsid w:val="006E16B4"/>
    <w:rsid w:val="00767ADD"/>
    <w:rsid w:val="00784952"/>
    <w:rsid w:val="007A5444"/>
    <w:rsid w:val="007B7797"/>
    <w:rsid w:val="007E2528"/>
    <w:rsid w:val="007F2EF7"/>
    <w:rsid w:val="0084675A"/>
    <w:rsid w:val="00870B2E"/>
    <w:rsid w:val="00874CA5"/>
    <w:rsid w:val="00902080"/>
    <w:rsid w:val="00930C94"/>
    <w:rsid w:val="00940D03"/>
    <w:rsid w:val="0094276E"/>
    <w:rsid w:val="0097041F"/>
    <w:rsid w:val="00972D40"/>
    <w:rsid w:val="00974673"/>
    <w:rsid w:val="009C3CB7"/>
    <w:rsid w:val="00A26638"/>
    <w:rsid w:val="00A63E1D"/>
    <w:rsid w:val="00A909ED"/>
    <w:rsid w:val="00AC5222"/>
    <w:rsid w:val="00B24A74"/>
    <w:rsid w:val="00B84BF5"/>
    <w:rsid w:val="00BC472D"/>
    <w:rsid w:val="00BC6426"/>
    <w:rsid w:val="00C2016C"/>
    <w:rsid w:val="00C42D33"/>
    <w:rsid w:val="00C6336B"/>
    <w:rsid w:val="00CD0353"/>
    <w:rsid w:val="00CF24ED"/>
    <w:rsid w:val="00D12A5F"/>
    <w:rsid w:val="00D12AB2"/>
    <w:rsid w:val="00D57764"/>
    <w:rsid w:val="00D80EDB"/>
    <w:rsid w:val="00EA6527"/>
    <w:rsid w:val="00ED539E"/>
    <w:rsid w:val="00ED60C4"/>
    <w:rsid w:val="00F33C1D"/>
    <w:rsid w:val="00F404C7"/>
    <w:rsid w:val="00F80FA2"/>
    <w:rsid w:val="00F84016"/>
    <w:rsid w:val="10CE042B"/>
    <w:rsid w:val="1C7837BE"/>
    <w:rsid w:val="250435F3"/>
    <w:rsid w:val="305509C8"/>
    <w:rsid w:val="39912340"/>
    <w:rsid w:val="47C03668"/>
    <w:rsid w:val="575C024D"/>
    <w:rsid w:val="5AE37242"/>
    <w:rsid w:val="6AEE062D"/>
    <w:rsid w:val="777D4B5F"/>
    <w:rsid w:val="78381672"/>
    <w:rsid w:val="7DCD4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日期 Char"/>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6E3A5-6882-4DB9-975A-D7E59C96EBC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188</Words>
  <Characters>1075</Characters>
  <Lines>8</Lines>
  <Paragraphs>2</Paragraphs>
  <TotalTime>0</TotalTime>
  <ScaleCrop>false</ScaleCrop>
  <LinksUpToDate>false</LinksUpToDate>
  <CharactersWithSpaces>1261</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2021-03-04T05:08:00Z</dcterms:created>
  <dc:creator>administrator</dc:creator>
  <cp:lastModifiedBy>雪蓉</cp:lastModifiedBy>
  <dcterms:modified xsi:type="dcterms:W3CDTF">2022-04-03T12:41:41Z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D955AEE0135148278EBCDC1F953051A0</vt:lpwstr>
  </property>
</Properties>
</file>